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F4" w:rsidRDefault="00CC7AC6" w:rsidP="00CC7AC6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right="900"/>
        <w:rPr>
          <w:rFonts w:ascii="Palatino" w:eastAsia="Times New Roman" w:hAnsi="Palatino"/>
          <w:color w:val="0021A5"/>
          <w:sz w:val="20"/>
        </w:rPr>
      </w:pPr>
      <w:r>
        <w:rPr>
          <w:rFonts w:ascii="Palatino" w:eastAsia="Times New Roman" w:hAnsi="Palatino"/>
          <w:b/>
          <w:color w:val="0021A5"/>
          <w:sz w:val="20"/>
        </w:rPr>
        <w:t xml:space="preserve">                          </w:t>
      </w:r>
      <w:r w:rsidR="009F39F4">
        <w:rPr>
          <w:rFonts w:ascii="Palatino" w:eastAsia="Times New Roman" w:hAnsi="Palatino"/>
          <w:b/>
          <w:color w:val="0021A5"/>
          <w:sz w:val="20"/>
        </w:rPr>
        <w:t>College of Pharmacy</w:t>
      </w:r>
      <w:r w:rsidR="00FD2BC2">
        <w:rPr>
          <w:rFonts w:ascii="Palatino" w:eastAsia="Times New Roman" w:hAnsi="Palatino"/>
          <w:b/>
          <w:color w:val="0021A5"/>
          <w:sz w:val="20"/>
        </w:rPr>
        <w:t xml:space="preserve">                                                                                           </w:t>
      </w:r>
      <w:r w:rsidR="00D050F2">
        <w:rPr>
          <w:rFonts w:ascii="Palatino" w:eastAsia="Times New Roman" w:hAnsi="Palatino"/>
          <w:b/>
          <w:color w:val="0021A5"/>
          <w:sz w:val="20"/>
        </w:rPr>
        <w:t xml:space="preserve">     </w:t>
      </w:r>
      <w:r w:rsidR="009F39F4">
        <w:rPr>
          <w:rFonts w:ascii="Palatino" w:eastAsia="Times New Roman" w:hAnsi="Palatino"/>
          <w:color w:val="0021A5"/>
          <w:sz w:val="20"/>
        </w:rPr>
        <w:t>101 South Newell Drive</w:t>
      </w:r>
    </w:p>
    <w:p w:rsidR="00F43330" w:rsidRDefault="00CC7AC6" w:rsidP="00CC7AC6">
      <w:pPr>
        <w:widowControl w:val="0"/>
        <w:tabs>
          <w:tab w:val="left" w:pos="1620"/>
          <w:tab w:val="left" w:pos="8460"/>
        </w:tabs>
        <w:autoSpaceDE w:val="0"/>
        <w:autoSpaceDN w:val="0"/>
        <w:adjustRightInd w:val="0"/>
        <w:spacing w:line="240" w:lineRule="atLeast"/>
        <w:ind w:right="900"/>
        <w:rPr>
          <w:rFonts w:ascii="Palatino" w:eastAsia="Times New Roman" w:hAnsi="Palatino"/>
          <w:color w:val="0021A5"/>
          <w:sz w:val="20"/>
        </w:rPr>
      </w:pPr>
      <w:r>
        <w:rPr>
          <w:rFonts w:ascii="Palatino" w:eastAsia="Times New Roman" w:hAnsi="Palatino"/>
          <w:color w:val="0021A5"/>
          <w:sz w:val="20"/>
        </w:rPr>
        <w:t xml:space="preserve">                          </w:t>
      </w:r>
      <w:r w:rsidR="009F39F4">
        <w:rPr>
          <w:rFonts w:ascii="Palatino" w:eastAsia="Times New Roman" w:hAnsi="Palatino"/>
          <w:color w:val="0021A5"/>
          <w:sz w:val="20"/>
        </w:rPr>
        <w:t xml:space="preserve">Department of </w:t>
      </w:r>
      <w:r w:rsidR="006B6025">
        <w:rPr>
          <w:rFonts w:ascii="Palatino" w:eastAsia="Times New Roman" w:hAnsi="Palatino"/>
          <w:color w:val="0021A5"/>
          <w:sz w:val="20"/>
        </w:rPr>
        <w:t>Pharmacotherapy</w:t>
      </w:r>
      <w:r w:rsidR="00FD2BC2">
        <w:rPr>
          <w:rFonts w:ascii="Palatino" w:eastAsia="Times New Roman" w:hAnsi="Palatino"/>
          <w:color w:val="0021A5"/>
          <w:sz w:val="20"/>
        </w:rPr>
        <w:t xml:space="preserve"> and Translational Research                      </w:t>
      </w:r>
      <w:r w:rsidR="00D050F2">
        <w:rPr>
          <w:rFonts w:ascii="Palatino" w:eastAsia="Times New Roman" w:hAnsi="Palatino"/>
          <w:color w:val="0021A5"/>
          <w:sz w:val="20"/>
        </w:rPr>
        <w:t xml:space="preserve">    </w:t>
      </w:r>
      <w:r w:rsidR="00F43330">
        <w:rPr>
          <w:rFonts w:ascii="Palatino" w:eastAsia="Times New Roman" w:hAnsi="Palatino"/>
          <w:color w:val="0021A5"/>
          <w:sz w:val="20"/>
        </w:rPr>
        <w:t>HPNP Bldg. 212, Rm 3309</w:t>
      </w:r>
    </w:p>
    <w:p w:rsidR="009F39F4" w:rsidRDefault="00FD2BC2" w:rsidP="00FD2BC2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right="900"/>
        <w:rPr>
          <w:rFonts w:ascii="Palatino" w:eastAsia="Times New Roman" w:hAnsi="Palatino"/>
          <w:color w:val="0021A5"/>
          <w:sz w:val="20"/>
        </w:rPr>
      </w:pPr>
      <w:r>
        <w:rPr>
          <w:rFonts w:ascii="Palatino" w:eastAsia="Times New Roman" w:hAnsi="Palatino"/>
          <w:color w:val="0021A5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050F2">
        <w:rPr>
          <w:rFonts w:ascii="Palatino" w:eastAsia="Times New Roman" w:hAnsi="Palatino"/>
          <w:color w:val="0021A5"/>
          <w:sz w:val="20"/>
        </w:rPr>
        <w:t xml:space="preserve">   </w:t>
      </w:r>
      <w:r w:rsidR="00E62AE9">
        <w:rPr>
          <w:rFonts w:ascii="Palatino" w:eastAsia="Times New Roman" w:hAnsi="Palatino"/>
          <w:color w:val="0021A5"/>
          <w:sz w:val="20"/>
        </w:rPr>
        <w:t xml:space="preserve"> </w:t>
      </w:r>
      <w:r w:rsidR="00F43330">
        <w:rPr>
          <w:rFonts w:ascii="Palatino" w:eastAsia="Times New Roman" w:hAnsi="Palatino"/>
          <w:color w:val="0021A5"/>
          <w:sz w:val="20"/>
        </w:rPr>
        <w:t>PO Box 100486</w:t>
      </w:r>
    </w:p>
    <w:p w:rsidR="009F39F4" w:rsidRDefault="00FD2BC2" w:rsidP="00FD2BC2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right="900"/>
        <w:rPr>
          <w:rFonts w:ascii="Palatino" w:eastAsia="Times New Roman" w:hAnsi="Palatino"/>
          <w:color w:val="0021A5"/>
          <w:sz w:val="20"/>
        </w:rPr>
      </w:pPr>
      <w:r>
        <w:rPr>
          <w:rFonts w:ascii="Palatino" w:eastAsia="Times New Roman" w:hAnsi="Palatino"/>
          <w:color w:val="0021A5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050F2">
        <w:rPr>
          <w:rFonts w:ascii="Palatino" w:eastAsia="Times New Roman" w:hAnsi="Palatino"/>
          <w:color w:val="0021A5"/>
          <w:sz w:val="20"/>
        </w:rPr>
        <w:t xml:space="preserve">   </w:t>
      </w:r>
      <w:r w:rsidR="006F3D47">
        <w:rPr>
          <w:rFonts w:ascii="Palatino" w:eastAsia="Times New Roman" w:hAnsi="Palatino"/>
          <w:color w:val="0021A5"/>
          <w:sz w:val="20"/>
        </w:rPr>
        <w:t xml:space="preserve"> </w:t>
      </w:r>
      <w:r w:rsidR="009F39F4">
        <w:rPr>
          <w:rFonts w:ascii="Palatino" w:eastAsia="Times New Roman" w:hAnsi="Palatino"/>
          <w:color w:val="0021A5"/>
          <w:sz w:val="20"/>
        </w:rPr>
        <w:t>Gainesville, FL 32610-0486</w:t>
      </w:r>
    </w:p>
    <w:p w:rsidR="009F39F4" w:rsidRDefault="00FD2BC2" w:rsidP="00FD2BC2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right="900"/>
        <w:rPr>
          <w:rFonts w:ascii="Palatino" w:eastAsia="Times New Roman" w:hAnsi="Palatino"/>
          <w:color w:val="0021A5"/>
          <w:sz w:val="20"/>
        </w:rPr>
      </w:pPr>
      <w:r>
        <w:rPr>
          <w:rFonts w:ascii="Palatino" w:eastAsia="Times New Roman" w:hAnsi="Palatino"/>
          <w:color w:val="0021A5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050F2">
        <w:rPr>
          <w:rFonts w:ascii="Palatino" w:eastAsia="Times New Roman" w:hAnsi="Palatino"/>
          <w:color w:val="0021A5"/>
          <w:sz w:val="20"/>
        </w:rPr>
        <w:t xml:space="preserve">    </w:t>
      </w:r>
      <w:r w:rsidR="009F39F4">
        <w:rPr>
          <w:rFonts w:ascii="Palatino" w:eastAsia="Times New Roman" w:hAnsi="Palatino"/>
          <w:color w:val="0021A5"/>
          <w:sz w:val="20"/>
        </w:rPr>
        <w:t>352-273-6236</w:t>
      </w:r>
    </w:p>
    <w:p w:rsidR="009F39F4" w:rsidRDefault="00FD2BC2" w:rsidP="001169C3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  <w:r>
        <w:rPr>
          <w:rFonts w:ascii="Palatino" w:eastAsia="Times New Roman" w:hAnsi="Palatino"/>
          <w:color w:val="0021A5"/>
          <w:sz w:val="20"/>
        </w:rPr>
        <w:t xml:space="preserve">                                                                                                                                 </w:t>
      </w:r>
      <w:r w:rsidR="00D050F2">
        <w:rPr>
          <w:rFonts w:ascii="Palatino" w:eastAsia="Times New Roman" w:hAnsi="Palatino"/>
          <w:color w:val="0021A5"/>
          <w:sz w:val="20"/>
        </w:rPr>
        <w:t xml:space="preserve">    </w:t>
      </w:r>
      <w:r w:rsidR="009F39F4">
        <w:rPr>
          <w:rFonts w:ascii="Palatino" w:eastAsia="Times New Roman" w:hAnsi="Palatino"/>
          <w:color w:val="0021A5"/>
          <w:sz w:val="20"/>
        </w:rPr>
        <w:t>352-273-6242 Fax</w:t>
      </w:r>
    </w:p>
    <w:p w:rsidR="001169C3" w:rsidRDefault="001169C3" w:rsidP="001251A5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</w:p>
    <w:p w:rsidR="006715F3" w:rsidRDefault="006715F3" w:rsidP="001251A5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</w:p>
    <w:p w:rsidR="006715F3" w:rsidRDefault="006715F3" w:rsidP="001251A5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</w:p>
    <w:p w:rsidR="00FA3E43" w:rsidRDefault="00FA3E43" w:rsidP="00FA3E43">
      <w:pPr>
        <w:ind w:left="1440" w:right="1440"/>
        <w:jc w:val="both"/>
      </w:pPr>
      <w:r>
        <w:t>Welcome to the Department of Pharmacotherapy and Translational Research (PTR), College of Pharmacy, University of Florida</w:t>
      </w:r>
      <w:r w:rsidR="00F30CD0">
        <w:t xml:space="preserve">.  </w:t>
      </w:r>
      <w:r>
        <w:t>The department is proud of its national reputation as a leader in the areas of pharmacy practice, education and clinical research.  We are excited to have you as part of our team.</w:t>
      </w:r>
    </w:p>
    <w:p w:rsidR="00FA3E43" w:rsidRDefault="00FA3E43" w:rsidP="00FA3E43">
      <w:pPr>
        <w:ind w:left="1440" w:right="1440"/>
        <w:jc w:val="both"/>
      </w:pPr>
    </w:p>
    <w:p w:rsidR="00FA3E43" w:rsidRDefault="00FA3E43" w:rsidP="00FA3E43">
      <w:pPr>
        <w:ind w:left="1440" w:right="1440"/>
        <w:jc w:val="both"/>
      </w:pPr>
      <w:r>
        <w:t>Our administration’s goal is that each employee has a smooth and expedient transition into their assignment</w:t>
      </w:r>
      <w:r w:rsidR="006929AB">
        <w:t xml:space="preserve">.  </w:t>
      </w:r>
      <w:r>
        <w:t xml:space="preserve">Please feel free to contact the Department’s Office Manager, Susan Griffith, at 352-273-6238 or email at </w:t>
      </w:r>
      <w:r w:rsidR="006929AB" w:rsidRPr="00F30CD0">
        <w:t>griffith@cop.ufl.edu</w:t>
      </w:r>
      <w:r>
        <w:t xml:space="preserve"> if you have any additional questions regar</w:t>
      </w:r>
      <w:r w:rsidR="001512E1">
        <w:t>ding personnel appointments or payroll</w:t>
      </w:r>
      <w:r>
        <w:t xml:space="preserve">.  </w:t>
      </w:r>
    </w:p>
    <w:p w:rsidR="00FA3E43" w:rsidRDefault="00FA3E43" w:rsidP="00FA3E43">
      <w:pPr>
        <w:ind w:left="1440" w:right="1440"/>
        <w:jc w:val="both"/>
      </w:pPr>
    </w:p>
    <w:p w:rsidR="00FA3E43" w:rsidRPr="006929AB" w:rsidRDefault="00FA3E43" w:rsidP="00FA3E43">
      <w:pPr>
        <w:ind w:left="1440" w:right="1440"/>
        <w:jc w:val="both"/>
        <w:rPr>
          <w:b/>
          <w:i/>
        </w:rPr>
      </w:pPr>
      <w:r w:rsidRPr="006929AB">
        <w:rPr>
          <w:b/>
          <w:u w:val="single"/>
        </w:rPr>
        <w:t>Th</w:t>
      </w:r>
      <w:r w:rsidR="006929AB" w:rsidRPr="006929AB">
        <w:rPr>
          <w:b/>
          <w:u w:val="single"/>
        </w:rPr>
        <w:t>e following provides guidance on how to enter and a</w:t>
      </w:r>
      <w:r w:rsidRPr="006929AB">
        <w:rPr>
          <w:b/>
          <w:u w:val="single"/>
        </w:rPr>
        <w:t>djust time</w:t>
      </w:r>
      <w:r w:rsidR="006929AB" w:rsidRPr="006929AB">
        <w:rPr>
          <w:b/>
          <w:u w:val="single"/>
        </w:rPr>
        <w:t xml:space="preserve"> for an </w:t>
      </w:r>
      <w:r w:rsidR="00DA3044">
        <w:rPr>
          <w:b/>
          <w:u w:val="single"/>
        </w:rPr>
        <w:t xml:space="preserve">Other Personnel Services hourly </w:t>
      </w:r>
      <w:r w:rsidR="006929AB" w:rsidRPr="006929AB">
        <w:rPr>
          <w:b/>
          <w:u w:val="single"/>
        </w:rPr>
        <w:t>employee’s pay</w:t>
      </w:r>
      <w:r w:rsidR="006929AB" w:rsidRPr="006929AB">
        <w:rPr>
          <w:b/>
          <w:i/>
        </w:rPr>
        <w:t xml:space="preserve">. </w:t>
      </w:r>
    </w:p>
    <w:p w:rsidR="006929AB" w:rsidRPr="006929AB" w:rsidRDefault="006929AB" w:rsidP="00FA3E43">
      <w:pPr>
        <w:ind w:left="1440" w:right="1440"/>
        <w:jc w:val="both"/>
        <w:rPr>
          <w:b/>
          <w:i/>
        </w:rPr>
      </w:pPr>
    </w:p>
    <w:p w:rsidR="00DA3044" w:rsidRDefault="00DA3044" w:rsidP="00FA3E43">
      <w:pPr>
        <w:ind w:left="1440" w:right="1440"/>
        <w:jc w:val="both"/>
      </w:pPr>
      <w:r>
        <w:t xml:space="preserve">Other Personnel Services (OPS) </w:t>
      </w:r>
      <w:r w:rsidR="00E5300B">
        <w:t xml:space="preserve">hourly non-exempt </w:t>
      </w:r>
      <w:r>
        <w:t xml:space="preserve">employees must enter time worked each pay period.  OPS clerical/non-clerical classifications are not eligible for </w:t>
      </w:r>
      <w:r w:rsidR="00364BED">
        <w:t>leave;</w:t>
      </w:r>
      <w:r>
        <w:t xml:space="preserve"> therefore employees in this classification are not eligible for pay on missed workdays.  Employees can arrange with their supervisor to work ex</w:t>
      </w:r>
      <w:r w:rsidR="0021002C">
        <w:t>tra upon their return to work.  However, t</w:t>
      </w:r>
      <w:r>
        <w:t xml:space="preserve">he College of Pharmacy (as well as PTR) has a strict overtime policy.  Employees must </w:t>
      </w:r>
      <w:r w:rsidR="0021002C">
        <w:t xml:space="preserve">be careful not to work overtime (more than 40 hours from </w:t>
      </w:r>
      <w:r w:rsidR="000E2A8B">
        <w:t>Friday – Thursday</w:t>
      </w:r>
      <w:bookmarkStart w:id="0" w:name="_GoBack"/>
      <w:bookmarkEnd w:id="0"/>
      <w:r w:rsidR="0021002C">
        <w:t>) unless they have obtained prior</w:t>
      </w:r>
      <w:r>
        <w:t xml:space="preserve"> written approval (e-mail is acceptable) </w:t>
      </w:r>
      <w:r w:rsidR="0021002C">
        <w:t xml:space="preserve">from their supervisor </w:t>
      </w:r>
      <w:r>
        <w:t xml:space="preserve">before working any overtime.  </w:t>
      </w:r>
    </w:p>
    <w:p w:rsidR="00DA3044" w:rsidRDefault="00DA3044" w:rsidP="00FA3E43">
      <w:pPr>
        <w:ind w:left="1440" w:right="1440"/>
        <w:jc w:val="both"/>
      </w:pPr>
    </w:p>
    <w:p w:rsidR="00FA3E43" w:rsidRPr="00DE3E50" w:rsidRDefault="00FA3E43" w:rsidP="00DA3044">
      <w:pPr>
        <w:ind w:left="1440" w:right="1440"/>
        <w:jc w:val="both"/>
        <w:rPr>
          <w:b/>
        </w:rPr>
      </w:pPr>
      <w:r>
        <w:t>University of Florida pay periods consist of two weeks which run from Friday-Thursday each.  Checks are issued a week and a day after the pay period closes (</w:t>
      </w:r>
      <w:r w:rsidR="00DA3044">
        <w:t xml:space="preserve">the following </w:t>
      </w:r>
      <w:r>
        <w:t>Friday).  Emplo</w:t>
      </w:r>
      <w:r w:rsidR="00DE3E50">
        <w:t>yees must ensure that their hours are</w:t>
      </w:r>
      <w:r>
        <w:t xml:space="preserve"> entered </w:t>
      </w:r>
      <w:r w:rsidR="00DE3E50">
        <w:t xml:space="preserve">correctly and </w:t>
      </w:r>
      <w:r w:rsidR="00DA3044">
        <w:t>on time</w:t>
      </w:r>
      <w:r w:rsidR="00DE3E50">
        <w:t xml:space="preserve">.  </w:t>
      </w:r>
      <w:r w:rsidRPr="007033BB">
        <w:rPr>
          <w:b/>
          <w:i/>
        </w:rPr>
        <w:t xml:space="preserve">The department requires that employees have all their </w:t>
      </w:r>
      <w:r w:rsidR="00DE3E50" w:rsidRPr="007033BB">
        <w:rPr>
          <w:b/>
          <w:i/>
        </w:rPr>
        <w:t>hours</w:t>
      </w:r>
      <w:r w:rsidRPr="007033BB">
        <w:rPr>
          <w:b/>
          <w:i/>
        </w:rPr>
        <w:t xml:space="preserve"> entered into the system on the Tuesday before the pay period ends, in order to</w:t>
      </w:r>
      <w:r w:rsidR="0045387A" w:rsidRPr="007033BB">
        <w:rPr>
          <w:b/>
          <w:i/>
        </w:rPr>
        <w:t xml:space="preserve"> avoid employees missing pay.</w:t>
      </w:r>
      <w:r w:rsidR="0045387A">
        <w:t xml:space="preserve">  </w:t>
      </w:r>
      <w:r w:rsidR="007E4A76" w:rsidRPr="007E4A76">
        <w:rPr>
          <w:b/>
          <w:i/>
        </w:rPr>
        <w:t xml:space="preserve">If anything unexpected occurs (illness, change in hours for the day), you can always make changes </w:t>
      </w:r>
      <w:r w:rsidR="007E4A76">
        <w:rPr>
          <w:b/>
          <w:i/>
        </w:rPr>
        <w:t xml:space="preserve">later </w:t>
      </w:r>
      <w:r w:rsidR="007E4A76" w:rsidRPr="007E4A76">
        <w:rPr>
          <w:b/>
          <w:i/>
        </w:rPr>
        <w:t>and the system will calculate the hours/pay accordingly</w:t>
      </w:r>
      <w:r w:rsidR="007E4A76">
        <w:t xml:space="preserve">.  </w:t>
      </w:r>
      <w:r w:rsidRPr="00DE3E50">
        <w:rPr>
          <w:b/>
          <w:i/>
        </w:rPr>
        <w:t>If employees do not enter time, they will miss pay</w:t>
      </w:r>
      <w:r w:rsidRPr="00DE3E50">
        <w:rPr>
          <w:b/>
        </w:rPr>
        <w:t>.</w:t>
      </w:r>
    </w:p>
    <w:p w:rsidR="00DE3E50" w:rsidRDefault="00DE3E50" w:rsidP="00DA3044">
      <w:pPr>
        <w:ind w:left="1440" w:right="1440"/>
        <w:jc w:val="both"/>
      </w:pPr>
    </w:p>
    <w:p w:rsidR="00FA3E43" w:rsidRDefault="00FA3E43" w:rsidP="00FA3E43">
      <w:pPr>
        <w:pStyle w:val="Default"/>
        <w:ind w:left="1440" w:right="1440"/>
      </w:pPr>
    </w:p>
    <w:p w:rsidR="00DE3E50" w:rsidRDefault="00DE3E50" w:rsidP="00FA3E43">
      <w:pPr>
        <w:pStyle w:val="Default"/>
        <w:ind w:left="1440" w:right="1440"/>
        <w:rPr>
          <w:b/>
          <w:bCs/>
          <w:sz w:val="22"/>
          <w:szCs w:val="22"/>
        </w:rPr>
      </w:pPr>
    </w:p>
    <w:p w:rsidR="00DE3E50" w:rsidRDefault="00DE3E50" w:rsidP="00FA3E43">
      <w:pPr>
        <w:pStyle w:val="Default"/>
        <w:ind w:left="1440" w:right="1440"/>
        <w:rPr>
          <w:b/>
          <w:bCs/>
          <w:sz w:val="22"/>
          <w:szCs w:val="22"/>
        </w:rPr>
      </w:pPr>
    </w:p>
    <w:p w:rsidR="00DE3E50" w:rsidRDefault="00DE3E50" w:rsidP="00FA3E43">
      <w:pPr>
        <w:pStyle w:val="Default"/>
        <w:ind w:left="1440" w:right="1440"/>
        <w:rPr>
          <w:b/>
          <w:bCs/>
          <w:sz w:val="22"/>
          <w:szCs w:val="22"/>
        </w:rPr>
      </w:pPr>
    </w:p>
    <w:p w:rsidR="00DD0B54" w:rsidRDefault="00DD0B54" w:rsidP="00DD0B54">
      <w:pPr>
        <w:pStyle w:val="Default"/>
        <w:ind w:right="1440"/>
        <w:rPr>
          <w:b/>
          <w:bCs/>
          <w:sz w:val="22"/>
          <w:szCs w:val="22"/>
        </w:rPr>
      </w:pPr>
    </w:p>
    <w:p w:rsidR="00DD0B54" w:rsidRDefault="00DD0B54" w:rsidP="00DD0B54">
      <w:pPr>
        <w:pStyle w:val="Default"/>
        <w:ind w:left="720" w:right="1440" w:firstLine="720"/>
        <w:rPr>
          <w:b/>
          <w:bCs/>
          <w:sz w:val="22"/>
          <w:szCs w:val="22"/>
        </w:rPr>
      </w:pPr>
    </w:p>
    <w:sectPr w:rsidR="00DD0B54" w:rsidSect="009561D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7" w:right="346" w:bottom="288" w:left="230" w:header="90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F" w:rsidRDefault="00847DBF">
      <w:r>
        <w:separator/>
      </w:r>
    </w:p>
  </w:endnote>
  <w:endnote w:type="continuationSeparator" w:id="0">
    <w:p w:rsidR="00847DBF" w:rsidRDefault="0084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80" w:rsidRDefault="00B46680" w:rsidP="0018272D">
    <w:pPr>
      <w:pStyle w:val="Noparagraphstyle"/>
      <w:spacing w:before="60"/>
      <w:rPr>
        <w:rFonts w:ascii="Palatino" w:hAnsi="Palatino"/>
        <w:color w:val="0021A5"/>
        <w:sz w:val="14"/>
      </w:rPr>
    </w:pPr>
  </w:p>
  <w:p w:rsidR="009F39F4" w:rsidRDefault="009F39F4">
    <w:pPr>
      <w:pStyle w:val="Footer"/>
      <w:ind w:left="1354"/>
      <w:rPr>
        <w:color w:val="0021A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2D" w:rsidRDefault="0018272D" w:rsidP="0018272D">
    <w:pPr>
      <w:pStyle w:val="Noparagraphstyle"/>
      <w:ind w:left="1354"/>
      <w:rPr>
        <w:rFonts w:ascii="Palatino-Italic" w:hAnsi="Palatino-Italic"/>
        <w:i/>
        <w:color w:val="0021A5"/>
      </w:rPr>
    </w:pPr>
    <w:r>
      <w:rPr>
        <w:rFonts w:ascii="Palatino-Italic" w:hAnsi="Palatino-Italic"/>
        <w:i/>
        <w:color w:val="0021A5"/>
      </w:rPr>
      <w:t>The Foundation for The Gator Nation</w:t>
    </w:r>
  </w:p>
  <w:p w:rsidR="0018272D" w:rsidRDefault="0018272D" w:rsidP="0018272D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  <w:r>
      <w:rPr>
        <w:rFonts w:ascii="Palatino" w:hAnsi="Palatino"/>
        <w:color w:val="0021A5"/>
        <w:sz w:val="14"/>
      </w:rPr>
      <w:t>An Equal Opportunity Institution</w:t>
    </w:r>
  </w:p>
  <w:p w:rsidR="00180151" w:rsidRDefault="00180151" w:rsidP="0018272D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</w:p>
  <w:p w:rsidR="00180151" w:rsidRDefault="00180151" w:rsidP="0018272D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</w:p>
  <w:p w:rsidR="0018272D" w:rsidRDefault="00182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F" w:rsidRDefault="00847DBF">
      <w:r>
        <w:separator/>
      </w:r>
    </w:p>
  </w:footnote>
  <w:footnote w:type="continuationSeparator" w:id="0">
    <w:p w:rsidR="00847DBF" w:rsidRDefault="0084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F4" w:rsidRDefault="009F39F4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 w:right="90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2D" w:rsidRDefault="00847DBF" w:rsidP="0018272D">
    <w:pPr>
      <w:widowControl w:val="0"/>
      <w:autoSpaceDE w:val="0"/>
      <w:autoSpaceDN w:val="0"/>
      <w:adjustRightInd w:val="0"/>
      <w:spacing w:line="240" w:lineRule="atLeast"/>
      <w:ind w:left="180" w:right="900"/>
      <w:rPr>
        <w:rFonts w:ascii="Palatino" w:eastAsia="Times New Roman" w:hAnsi="Palatino"/>
        <w:b/>
        <w:color w:val="092869"/>
        <w:sz w:val="20"/>
      </w:rPr>
    </w:pPr>
    <w:r>
      <w:rPr>
        <w:rFonts w:ascii="Palatino" w:eastAsia="Times New Roman" w:hAnsi="Palatino"/>
        <w:b/>
        <w:color w:val="092869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33pt">
          <v:imagedata r:id="rId1" o:title="UF Signature"/>
        </v:shape>
      </w:pict>
    </w:r>
  </w:p>
  <w:p w:rsidR="0018272D" w:rsidRDefault="00182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60495C"/>
    <w:multiLevelType w:val="hybridMultilevel"/>
    <w:tmpl w:val="BF3E38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6C1357"/>
    <w:multiLevelType w:val="hybridMultilevel"/>
    <w:tmpl w:val="5768CA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1C1C5E"/>
    <w:multiLevelType w:val="hybridMultilevel"/>
    <w:tmpl w:val="53ECE6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C238BD"/>
    <w:multiLevelType w:val="hybridMultilevel"/>
    <w:tmpl w:val="AC1883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154995,#09286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9F4"/>
    <w:rsid w:val="00001838"/>
    <w:rsid w:val="00003C8D"/>
    <w:rsid w:val="000322DB"/>
    <w:rsid w:val="00033389"/>
    <w:rsid w:val="00062B57"/>
    <w:rsid w:val="00067F9C"/>
    <w:rsid w:val="00072DAC"/>
    <w:rsid w:val="0007410B"/>
    <w:rsid w:val="000868DD"/>
    <w:rsid w:val="000A2A5C"/>
    <w:rsid w:val="000A5970"/>
    <w:rsid w:val="000B7D40"/>
    <w:rsid w:val="000E2A8B"/>
    <w:rsid w:val="000E2F9F"/>
    <w:rsid w:val="000F3E49"/>
    <w:rsid w:val="00106C97"/>
    <w:rsid w:val="00107B53"/>
    <w:rsid w:val="00116756"/>
    <w:rsid w:val="001169C3"/>
    <w:rsid w:val="001251A5"/>
    <w:rsid w:val="001512E1"/>
    <w:rsid w:val="00151C09"/>
    <w:rsid w:val="00155BF2"/>
    <w:rsid w:val="00163A8D"/>
    <w:rsid w:val="00171357"/>
    <w:rsid w:val="00171D53"/>
    <w:rsid w:val="00180151"/>
    <w:rsid w:val="0018272D"/>
    <w:rsid w:val="001979EA"/>
    <w:rsid w:val="001A113F"/>
    <w:rsid w:val="001A2205"/>
    <w:rsid w:val="001B4525"/>
    <w:rsid w:val="001E313C"/>
    <w:rsid w:val="00203425"/>
    <w:rsid w:val="0021002C"/>
    <w:rsid w:val="0021728D"/>
    <w:rsid w:val="002407AE"/>
    <w:rsid w:val="00243621"/>
    <w:rsid w:val="00256E6E"/>
    <w:rsid w:val="00262930"/>
    <w:rsid w:val="00263F8C"/>
    <w:rsid w:val="00281F58"/>
    <w:rsid w:val="00285B19"/>
    <w:rsid w:val="00285BA3"/>
    <w:rsid w:val="002B0721"/>
    <w:rsid w:val="002B246B"/>
    <w:rsid w:val="002C73B7"/>
    <w:rsid w:val="003150BB"/>
    <w:rsid w:val="00321698"/>
    <w:rsid w:val="00321844"/>
    <w:rsid w:val="00333B2A"/>
    <w:rsid w:val="00352E40"/>
    <w:rsid w:val="00364BED"/>
    <w:rsid w:val="00366D42"/>
    <w:rsid w:val="00370221"/>
    <w:rsid w:val="00375A60"/>
    <w:rsid w:val="003900E5"/>
    <w:rsid w:val="003A60C7"/>
    <w:rsid w:val="003E6EA1"/>
    <w:rsid w:val="003F52CF"/>
    <w:rsid w:val="003F605F"/>
    <w:rsid w:val="00403F00"/>
    <w:rsid w:val="004433B4"/>
    <w:rsid w:val="0045387A"/>
    <w:rsid w:val="00473247"/>
    <w:rsid w:val="0048647F"/>
    <w:rsid w:val="004940D4"/>
    <w:rsid w:val="004A068C"/>
    <w:rsid w:val="004E0DEE"/>
    <w:rsid w:val="004E4F5B"/>
    <w:rsid w:val="00502710"/>
    <w:rsid w:val="00514022"/>
    <w:rsid w:val="005151B3"/>
    <w:rsid w:val="00527AA2"/>
    <w:rsid w:val="00552E97"/>
    <w:rsid w:val="00561A58"/>
    <w:rsid w:val="0057100D"/>
    <w:rsid w:val="005B4E45"/>
    <w:rsid w:val="005C71A0"/>
    <w:rsid w:val="005E59ED"/>
    <w:rsid w:val="00601B14"/>
    <w:rsid w:val="006038E4"/>
    <w:rsid w:val="006715F3"/>
    <w:rsid w:val="00672D7F"/>
    <w:rsid w:val="006929AB"/>
    <w:rsid w:val="006A182B"/>
    <w:rsid w:val="006A38AF"/>
    <w:rsid w:val="006A5778"/>
    <w:rsid w:val="006B6025"/>
    <w:rsid w:val="006C3419"/>
    <w:rsid w:val="006C63FF"/>
    <w:rsid w:val="006F2E02"/>
    <w:rsid w:val="006F3D47"/>
    <w:rsid w:val="007033BB"/>
    <w:rsid w:val="00707877"/>
    <w:rsid w:val="007200BA"/>
    <w:rsid w:val="0072445E"/>
    <w:rsid w:val="00735B1D"/>
    <w:rsid w:val="0073786F"/>
    <w:rsid w:val="007414F5"/>
    <w:rsid w:val="00795A33"/>
    <w:rsid w:val="007967AC"/>
    <w:rsid w:val="007A5E85"/>
    <w:rsid w:val="007B7C62"/>
    <w:rsid w:val="007E4A76"/>
    <w:rsid w:val="007F2459"/>
    <w:rsid w:val="00804FE3"/>
    <w:rsid w:val="00817CE6"/>
    <w:rsid w:val="00823280"/>
    <w:rsid w:val="00847DBF"/>
    <w:rsid w:val="008646CB"/>
    <w:rsid w:val="008711FD"/>
    <w:rsid w:val="00884AAF"/>
    <w:rsid w:val="00894E1D"/>
    <w:rsid w:val="008A2537"/>
    <w:rsid w:val="008B0915"/>
    <w:rsid w:val="008B71ED"/>
    <w:rsid w:val="008C0E3A"/>
    <w:rsid w:val="008C11CA"/>
    <w:rsid w:val="008C1985"/>
    <w:rsid w:val="008E21EC"/>
    <w:rsid w:val="00904E19"/>
    <w:rsid w:val="0092417D"/>
    <w:rsid w:val="00950283"/>
    <w:rsid w:val="009561DE"/>
    <w:rsid w:val="00997989"/>
    <w:rsid w:val="009A2643"/>
    <w:rsid w:val="009B797B"/>
    <w:rsid w:val="009E14E6"/>
    <w:rsid w:val="009F39F4"/>
    <w:rsid w:val="009F65BA"/>
    <w:rsid w:val="00A06FBF"/>
    <w:rsid w:val="00A255DE"/>
    <w:rsid w:val="00A3371A"/>
    <w:rsid w:val="00A50987"/>
    <w:rsid w:val="00A8075C"/>
    <w:rsid w:val="00A85201"/>
    <w:rsid w:val="00A85DA8"/>
    <w:rsid w:val="00A90C05"/>
    <w:rsid w:val="00AA3964"/>
    <w:rsid w:val="00AA3AF1"/>
    <w:rsid w:val="00AB1EBC"/>
    <w:rsid w:val="00AC2E02"/>
    <w:rsid w:val="00AE51B6"/>
    <w:rsid w:val="00AE6DF3"/>
    <w:rsid w:val="00AF735B"/>
    <w:rsid w:val="00B1227E"/>
    <w:rsid w:val="00B23B66"/>
    <w:rsid w:val="00B418F1"/>
    <w:rsid w:val="00B46680"/>
    <w:rsid w:val="00B759E8"/>
    <w:rsid w:val="00BA273C"/>
    <w:rsid w:val="00BB4557"/>
    <w:rsid w:val="00BC3DC4"/>
    <w:rsid w:val="00BC67D9"/>
    <w:rsid w:val="00BF05B2"/>
    <w:rsid w:val="00C03B4F"/>
    <w:rsid w:val="00C14EE0"/>
    <w:rsid w:val="00C15DD4"/>
    <w:rsid w:val="00C15F61"/>
    <w:rsid w:val="00C24E0B"/>
    <w:rsid w:val="00C272A1"/>
    <w:rsid w:val="00C27972"/>
    <w:rsid w:val="00C37686"/>
    <w:rsid w:val="00C41138"/>
    <w:rsid w:val="00C66BC2"/>
    <w:rsid w:val="00C71F1A"/>
    <w:rsid w:val="00C74729"/>
    <w:rsid w:val="00CA2ECC"/>
    <w:rsid w:val="00CA58BB"/>
    <w:rsid w:val="00CC7AC6"/>
    <w:rsid w:val="00CD0622"/>
    <w:rsid w:val="00CD2B3E"/>
    <w:rsid w:val="00CD748C"/>
    <w:rsid w:val="00CF4FAC"/>
    <w:rsid w:val="00CF6DC9"/>
    <w:rsid w:val="00D009E9"/>
    <w:rsid w:val="00D03D25"/>
    <w:rsid w:val="00D050F2"/>
    <w:rsid w:val="00D13E0A"/>
    <w:rsid w:val="00D20F14"/>
    <w:rsid w:val="00D4647E"/>
    <w:rsid w:val="00D60809"/>
    <w:rsid w:val="00D73B48"/>
    <w:rsid w:val="00D75C2F"/>
    <w:rsid w:val="00D92AF4"/>
    <w:rsid w:val="00DA3044"/>
    <w:rsid w:val="00DA4D6B"/>
    <w:rsid w:val="00DA70AC"/>
    <w:rsid w:val="00DD0B54"/>
    <w:rsid w:val="00DE3E50"/>
    <w:rsid w:val="00E07B0E"/>
    <w:rsid w:val="00E25746"/>
    <w:rsid w:val="00E3118B"/>
    <w:rsid w:val="00E323D8"/>
    <w:rsid w:val="00E34441"/>
    <w:rsid w:val="00E35FC5"/>
    <w:rsid w:val="00E5300B"/>
    <w:rsid w:val="00E57B2E"/>
    <w:rsid w:val="00E6005F"/>
    <w:rsid w:val="00E62AE9"/>
    <w:rsid w:val="00E70BF3"/>
    <w:rsid w:val="00E906F4"/>
    <w:rsid w:val="00EC3B98"/>
    <w:rsid w:val="00EE71FC"/>
    <w:rsid w:val="00F30CD0"/>
    <w:rsid w:val="00F31B38"/>
    <w:rsid w:val="00F43330"/>
    <w:rsid w:val="00F641A8"/>
    <w:rsid w:val="00F6782D"/>
    <w:rsid w:val="00F802C0"/>
    <w:rsid w:val="00F82872"/>
    <w:rsid w:val="00F87F9D"/>
    <w:rsid w:val="00F958CE"/>
    <w:rsid w:val="00F9590C"/>
    <w:rsid w:val="00F972D8"/>
    <w:rsid w:val="00FA3E43"/>
    <w:rsid w:val="00FB4CC7"/>
    <w:rsid w:val="00FB5411"/>
    <w:rsid w:val="00FC6FC0"/>
    <w:rsid w:val="00FD0C65"/>
    <w:rsid w:val="00FD2BC2"/>
    <w:rsid w:val="00FE124B"/>
    <w:rsid w:val="00FE432B"/>
    <w:rsid w:val="00FF24CF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54995,#0928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character" w:styleId="Emphasis">
    <w:name w:val="Emphasis"/>
    <w:uiPriority w:val="20"/>
    <w:qFormat/>
    <w:rsid w:val="00285B19"/>
    <w:rPr>
      <w:i/>
      <w:iCs/>
    </w:rPr>
  </w:style>
  <w:style w:type="paragraph" w:styleId="BalloonText">
    <w:name w:val="Balloon Text"/>
    <w:basedOn w:val="Normal"/>
    <w:link w:val="BalloonTextChar"/>
    <w:rsid w:val="00375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A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E4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9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1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3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B9C-EBB7-40D1-BCC2-7D60BAE5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NAPA</Company>
  <LinksUpToDate>false</LinksUpToDate>
  <CharactersWithSpaces>3013</CharactersWithSpaces>
  <SharedDoc>false</SharedDoc>
  <HLinks>
    <vt:vector size="6" baseType="variant">
      <vt:variant>
        <vt:i4>6815861</vt:i4>
      </vt:variant>
      <vt:variant>
        <vt:i4>0</vt:i4>
      </vt:variant>
      <vt:variant>
        <vt:i4>0</vt:i4>
      </vt:variant>
      <vt:variant>
        <vt:i4>5</vt:i4>
      </vt:variant>
      <vt:variant>
        <vt:lpwstr>http://www.hr.ufl.edu/retirement/voluntary/default.asp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 Iamiceli</dc:creator>
  <cp:lastModifiedBy>Kamil Leavitt</cp:lastModifiedBy>
  <cp:revision>51</cp:revision>
  <cp:lastPrinted>2012-06-06T17:12:00Z</cp:lastPrinted>
  <dcterms:created xsi:type="dcterms:W3CDTF">2012-06-06T17:13:00Z</dcterms:created>
  <dcterms:modified xsi:type="dcterms:W3CDTF">2013-01-30T13:42:00Z</dcterms:modified>
</cp:coreProperties>
</file>